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18 22 vom 5. März 2020</w:t>
      </w:r>
    </w:p>
    <w:p>
      <w:r>
        <w:t>VS Kantonsgericht, 2020-03-05, FR</w:t>
      </w:r>
    </w:p>
    <w:p>
      <w:r>
        <w:rPr>
          <w:b/>
        </w:rPr>
        <w:t xml:space="preserve">Quelle: </w:t>
      </w:r>
      <w:r>
        <w:t>https://mcp.opencaselaw.ch/entscheid/vs_gerichte_S2 18 22</w:t>
      </w:r>
    </w:p>
    <w:p>
      <w:r>
        <w:t>FR: VS_GERICHTE S2 18 22 du 5 mars 2020</w:t>
      </w:r>
    </w:p>
    <w:p>
      <w:r>
        <w:t>IT: VS_GERICHTE S2 18 22 del 5 marzo 2020</w:t>
      </w:r>
    </w:p>
    <w:p>
      <w:pPr>
        <w:pStyle w:val="Heading2"/>
      </w:pPr>
      <w:r>
        <w:t>Regeste</w:t>
      </w:r>
    </w:p>
    <w:p>
      <w:r>
        <w:t>RVJ / ZWR 2022 73 Jurisprudence de la Cour des assurances sociales Rechtsprechung des Sozialversicherungsgerichts Prévoyance professionnelle Berufliche Vorsorge ATC (Cour des assurances sociales) du 5 mars 2020, X. c. Association pour le Centre médico-social régional de A. – S2 18 22 Refus de prestations d’assurance liées à un fonds de retraite anticipée - Action d’un employé contre son employeur tendant au paiement de prestations de libre passage ; art. 73 LPP ; compétence de la Cour des assurances sociales (consid. 1.2 et 1.3). - Un fonds de retraite anticipée créé par un employeur et financé au moyen des réserves de cotisations de l’employeur ne revêt pas les caractéristiques d’un fonds patronal de bienfaisance (consid. 1.4.2). - Exception de prescription ; la prescrition court dès la naissance du droit à la prestation selon les dispositions réglementaires ; en l’espèce, 24 mois avant l’âge ordinaire de la retraite (consid. 2.2). - Le transfert de l'employeur avec tout son personnel assuré dans une nouvelle institution</w:t>
      </w:r>
    </w:p>
    <w:p>
      <w:pPr>
        <w:pStyle w:val="Heading2"/>
      </w:pPr>
      <w:r>
        <w:t>Erwägungen</w:t>
      </w:r>
    </w:p>
    <w:p>
      <w:r>
        <w:rPr>
          <w:b/>
        </w:rPr>
        <w:t>E. 11</w:t>
      </w:r>
    </w:p>
    <w:p>
      <w:r>
        <w:t>décembre 2000 ne comporte aucune disposition dotant ce fonds de la personnalité juridique. En fonction depuis le 1er janvier 2001 (art. 8 du règlement précité), ce fonds créé par la défenderesse en faveur de ses employés a été financé, selon le demandeur (cf. action en paiement p. 3) et la défenderesse (cf. réponse p. 3 s.), grâce aux excédents réalisés par la caisse de pension CPC. Concrètement, les bons résultats de la CPC ont amené celle-ci à accorder un rabais sur la contribution de la défenderesse à la prévoyance professionnelle. L’association pour le CMS disposait ainsi de montants supplémentaires sur son compte de réserves de contribution ouvert auprès de la CPC, montants qu’elle a décidé d’utiliser dans le but d’alimenter le fonds de retraite anticipée (art. 1 et 3 du règlement précité ; cf. décision C1 15 125 du 3 mars 2017 du Tribunal du district de A _________ consid. 1.3). Le fonds de retraite anticipée créé par la défenderesse a ainsi été financé au moyen de réserves de contribution (ou réserves de cotisations) de l’employeur. Ces réserves sont des montants que l'employeur décide de verser à l'institution de prévoyance à laquelle il s’est affilié, afin de les utiliser comme réserves pour le paiement de ses cotisations. En effet, l’article 331 de la loi fédérale du 30 mars 1911 complétant le code civil suisse (CO ; RS 220), qui règle les obligations de l’employeur en matière de prévoyance en faveur du personnel, prévoit notamment en son alinéa 3 que, « lorsqu’il incombe au travailleur de verser des cotisations à une institution de prévoyance, l’employeur est tenu de verser en même temps une contribution au moins égale à la somme des cotisations de tous les travailleurs ; il financera sa contribution par ses moyens propres ou à l’aide de réserves de cotisations de l’institution de prévoyance ; ces réserves doivent avoir été accumulées préalablement dans ce but par l’employeur et être comptabilisées séparément. » Cette disposition est valable dans le domaine obligatoire comme dans le domaine surobligatoire, en l'absence de dispositions à ce sujet dans la LPP (ATF 130 V 518 consid. 3 et les réf. cit.). L'employeur a ainsi la possibilité, compte tenu des fluctuations de la marche de l'entreprise, de verser des contributions à l'avance qui, en temps voulu, peuvent être utilisées pour accomplir ses obligations (Jacques-André Schneider, Attributions volontaires de prévoyance de l'employeur : fiscalité et cotisations AVS/AI, in : RSAS 2009 p. 429). Sous l'angle de la prévoyance professionnelle, le montant transféré sur le compte de l'institution de prévoyance professionnelle et désigné comme réserve de cotisations cesse d'être la propriété de l'employeur et ne peut plus être utilisé à des fins étrangères à la prévoyance professionnelle. L'employeur a néanmoins un contrôle de sa réserve de cotisations – versée sur un compte séparé auprès de l'institution de prévoyance – dans la mesure où il peut l'affecter au paiement de</w:t>
      </w:r>
    </w:p>
    <w:p>
      <w:r>
        <w:t>- 8 - contributions ordinaires en fonction de l'évolution de la marche de ses affaires (ATF 130 V 518 consid. 5.1 et la doctrine citée). Il y a lieu de relever que les autorités judiciaires selon l'article 73 LPP ne sont pas compétentes pour connaître des litiges relatifs à des fonds patronaux de bienfaisance qui allouent des prestations purement discrétionnaires, c'est-à-dire des prestations ne relevant pas d'une obligation juridique, et dont le financement ne repose pas sur les contributions des destinataires. Sous cet angle, les fonds patronaux de bienfaisance correspondent à de pures fondations patrimoniales au sens des articles 80 à 89 du code civil suisse du 10 décembre 1907 (CC ; RS 210) et ne s’assimilent donc pas à des institutions de prévoyance. La question de savoir si une fondation de prévoyance en faveur du personnel est un fonds de prévoyance patronal ou une institution de prévoyance au sens de l’article 73 alinéa 1 LPP s’apprécie selon le but de la fondation défini dans le règlement ou les statuts et selon le financement des tâches de la fondation prévu par le droit des fondations (ATF 140 V 304 consid. 4.1 et 138 V 346 consid. 3.1.3). En l’espèce, le fonds créé par la défenderesse poursuit exclusivement des buts de prévoyance professionnelle au sens strict, dès lors que ses prestations assurent le risque vieillesse et qu’elles visent à faciliter la retraite anticipée des employés (art. 2 du règlement du 11 décembre 2000). Lorsque les assurés remplissent toutes les conditions prévues dans le règlement précité et que le fonds dispose des ressources financières nécessaires, l’allocation des prestations prévues ne peut pas être refusée, de sorte que celles-ci ne sauraient être qualifiées de purement discrétionnaires. Comme on vient de le voir, le mode de financement du fonds est en outre lui aussi étroitement lié à la prévoyance professionnelle, puisqu’il est alimenté au moyen de réserves de cotisations de l’employeur. Dans ces conditions, il n’est pas possible de considérer que le fonds en question revêt les caractéristiques d’un fonds patronal de bienfaisance. Il faut donc considérer que le litige porté céans ressortit spécifiquement à la prévoyance professionnelle, de sorte que la Cour est compétente ratione materiae pour connaître de la présente action en paiement portant sur des prestations d’assurance. 1.5 Le demandeur ayant motivé son action de manière conforme aux règles prescrites (art. 48 et 80 let. c LPJA, applicables par renvoi des art. 87a et 85 LPJA), il y a lieu d’entrer en matière. 1.6 Celui-ci a requis, à titre de moyen de preuve, l’interrogatoire des parties ; de même, la défenderesse a demandé l’interrogatoire de la présidente de l’Association pour le CMS. Ces moyens n’apparaissent pas utiles à la résolution du litige. En effet, les parties</w:t>
      </w:r>
    </w:p>
    <w:p>
      <w:r>
        <w:t>- 9 - au procès ont pu faire valoir céans leurs arguments par écrit, à plusieurs reprises, si bien qu’on ne voit pas quels éléments inédits et déterminants pour l’issue de la cause l’administration de ces moyens de preuve permettrait d’établir. Il est rappelé que les garanties minimales en matière de droit d'être entendu découlant de l'article 29 alinéa 2 de la Constitution fédérale du 18 avril 1999 (Cst. ; RS 101) ne comprennent en principe pas le droit d'être entendu oralement (ATF 140 I 68 consid. 9.6.1, cité p. ex. in : arrêt du Tribunal fédéral 9C_635/2018 du 5 décembre 2018 consid. 4.1). La défenderesse a aussi sollicité l’édition du dossier C1 15 125 par le Tribunal du district de A _________, ainsi que les auditions du directeur du CMS, d’une employée du CMS, du directeur de la PRESV et d’un expert LPP. Ces moyens ne seront pas non plus administrés, les témoignages des quatre personnes précitées n’apparaissant pas indispensables à la résolution du cas. Dans la mesure utile, la Cour se référera en outre à la décision C1 15 125 du Tribunal du district de A _________, dont le demandeur a produit une copie. 2.1 Dans sa réponse, la défenderesse soulève l’exception de prescription, grief qui sera examiné en premier. Elle précise que le demandeur n’a accompli aucun acte interruptif de prescription, alors qu’il avait connaissance de ses prétentions puisqu’il les avait chiffrées et communiquées au directeur du CMS en septembre 2012 déjà. 2.2 Aux termes de l'article 41 alinéa 2 LPP, les actions en recouvrement de créances se prescrivent par cinq ans quand elles portent sur des cotisations ou des prestations périodiques, par dix ans dans les autres cas. Les articles 129 à 142 CO sont applicables. En particulier, l’article 130 alinéa 1 CO prévoit que la prescription court dès que la créance est devenue exigible. L'exigibilité d'une prestation de la prévoyance professionnelle se situe lors de la naissance du droit à cette prestation, selon les dispositions légales et réglementaires qui lui sont applicables (ATF 132 V 159 consid. 3, cité p. ex. in arrêt du Tribunal fédéral 9C_111/2018 du 14 septembre 2018 consid. 3.4.1). In casu, le demandeur pouvait prétendre aux prestations du fonds de retraite anticipée au plus tôt 24 mois avant d’avoir atteint l’âge ordinaire de la retraite (art. 5 du règlement du 11 décembre 2000), soit à son 63ème anniversaire, en novembre 2015. Il s’ensuit que déposée le 14 février 2018, l’action en paiement n’est pas prescrite. 3.1 Sur le fond, le demandeur requiert le paiement par son ex-employeur de 59 443 fr. au titre de complément annuel de rente de vieillesse capitalisée, plus intérêts à 5 % l’an dès le 1er novembre 2015, ainsi que de 22 156 fr. au titre de pont AVS dès le 1er novembre 2015, plus intérêts à 5 % l’an dès cette même date. Il motive ses</w:t>
      </w:r>
    </w:p>
    <w:p>
      <w:r>
        <w:t>- 10 - prétentions en se référant au fonds de retraite anticipée que la défenderesse a créé afin d’assurer ses employés en prévoyance professionnelle étendue à partir de l’année 2001. De son côté, la défenderesse expose que ce fonds de retraite anticipée ne servait pas des prestations réglementaires de la caisse de pension, mais des prestations bénévoles qui ne créaient aucun droit acquis en faveur des assurés. Ainsi, selon elle, le demandeur n’avait aucune prétention contractuelle à faire valoir à son encontre et il invoquait à tort la modification unilatérale d’un prétendu engagement de l’employeur en lien avec les prestations offertes par le fonds de retraite anticipée. 3.2 Il est constant que le financement de ce fonds était assuré exclusivement par le compte de réserves de cotisations de la défenderesse ouvert auprès de la CPC (art. 3 du règlement du 11 décembre 2000) ; en particulier, le personnel du CMS n’a jamais versé de cotisations en faveur de ce fonds. Le 1er avril 2011, l’Association pour le CMS a changé de caisse de pension et s’est affiliée à la PRESV. Ce changement d'institution de prévoyance a entraîné formellement la résiliation du contrat d'affiliation entre la défenderesse et la CPC et l'affiliation subséquente à la PRESV, y compris le transfert global de la fortune. Le transfert de l'employeur avec tout son personnel assuré dans une nouvelle institution de prévoyance, par suite de l'annulation de l'affiliation auprès de l'ancienne institution, s’assimile à une dissolution avec réorganisation d'une telle institution, respectivement à une liquidation partielle d'une institution de prévoyance. D’ailleurs, selon l’article 53b alinéa 1 lettre c LPP, lorsque le contrat d’affiliation à l’institution de prévoyance est résilié, « les conditions pour une liquidation partielle sont présumées remplies ». Cela signifie que la fortune existante en faveur des assurés concernés est transférée globalement à la nouvelle institution. La fortune n'est pas liquidée, c'est-à-dire qu'elle n'est pas répartie en fonction des droits individuels des assurés (OFAS, Instructions concernant l’examen de la résiliation des contrats d’affiliation et de la réaffiliation de l’employeur, in : RSAS 1993 p. 370 s. ; Werner Nussbaum, Prévoyance professionnelle, La résiliation des contrats d'affiliation avec les institutions de prévoyance, 1993, in : FJS n° 1394 p. 5). 3.3 Le 18 octobre 2011, X _________ a annoncé prendre sa retraite anticipée pour le 30 novembre 2013, soit à l’âge de 61 ans. Dans la lettre qu’il a adressée à ce propos au directeur du CMS, il a requis le versement des prestations servies par le fonds de retraite anticipée. Ainsi que le directeur du CMS le lui a signifié à plusieurs reprises, l’assuré ne pouvait toutefois pas prétendre auxdites prestations avant d’avoir atteint l’âge de 63 ans, soit avant le 1er novembre 2015. A cette date, la défenderesse n’était plus affiliée à la</w:t>
      </w:r>
    </w:p>
    <w:p>
      <w:r>
        <w:t>- 11 - CPC depuis plus de quatre ans. Ce changement d’affiliation posait nécessairement la question du maintien du fonds de retraite anticipée, puisque le financement de celui-ci dépendait, au moins indirectement, des bons résultats de la CPC (cf. par. suivant et la référence à l’art. 3 du règlement du 11 décembre 2000). Or, réunis en assemblée le 7 janvier 2013, les employés du CMS ont refusé de s’affilier au fonds de retraite anticipée de la PRESV. Ce refus a exclu de facto toute possibilité pour le personnel de bénéficier de prestations facilitant la retraite anticipée, étant précisé que le fonds de retraite anticipée existant n’était plus alimenté et qu’il ne comptait plus que quelque 11 000 fr. (cf. décision C1 15 125 précitée consid. 1.3 et 1.5). 3.4 Le demandeur soutient que lorsqu’elle a mis en place le fonds de retraite anticipée en 2001, la défenderesse a pris envers ses employés un engagement qu’elle ne pouvait pas modifier de manière unilatérale. Cette allégation ne repose toutefois sur aucun élément de preuve. La Cour constate que l’existence formelle d’un tel engagement ne ressort nullement du règlement du 11 décembre 2000. En particulier, sur le plan du financement, l’article 3 dudit règlement ne donne aucune garantie aux bénéficiaires puisqu’il indique que « si des changements ultérieurs interviennent dans le mode de calcul de la CPC, les conditions de financement seront réexaminées en temps voulu ». D’ailleurs, on ne saurait considérer que les employés étaient, pour ce qui concerne les prestations de ce fonds, au bénéfice de droits acquis. En effet, le personnel du CMS ne versait aucune cotisation en faveur de ce fonds de retraite anticipée, lequel était exclusivement alimenté par le compte de réserve de contributions de l’employeur. Pour ces raisons, le demandeur ne pouvait pas penser de bonne foi que les prestations de ce fonds étaient garanties telles quelles, en particulier en cas de changement d'institution de prévoyance. Dans une lettre du 16 février 2013 déposée dans le cadre du procès civil cité plus haut, dont la défenderesse a produit céans une copie en annexe à sa réponse du 3 avril 2018, l’autorité de surveillance LPP a confirmé que l’utilisation de ce fonds ne découlait pas de prestations réglementaires de la CPC, mais était une prestation bénévole pour laquelle aucun droit acquis en faveur des assurés n’avait été trouvé. 3.5 X _________ invoque encore une violation du principe de l’égalité de traitement. Il expose que d’autres cadres employés par l’Association pour le CMS ont bénéficié du fonds de retraite anticipée, de sorte que la suppression de celui-ci sans aucune compensation créait une inégalité de traitement. Il est exact que le principe de l’égalité de traitement doit être respecté, notamment en cas de liquidation partielle (art. 53d al. 1 LPP). Celui-ci implique de traiter de manière identique des situations semblables et de manière différente des situations dissemblables (ATF 136 II 120 consid. 3.3.2) ; en</w:t>
      </w:r>
    </w:p>
    <w:p>
      <w:r>
        <w:t>- 12 - matière de prévoyance professionnelle, il est respecté lorsque tous les assurés d’un même collectif sont soumis à des conditions réglementaires identiques dans le plan de prévoyance (art. 1f de l’ordonnance fédérale du 18 avril 1984 sur la prévoyance professionnelle vieillesse, survivants et invalidité – OPP 2 ; RS 831.441.1). L’argument du demandeur ne convainc pas, car sa situation diffère notablement de celle des employés ayant bénéficié des prestations du fonds lors de leurs départs en retraite anticipée au cours des années 2000. En effet, X _________ ne remplissait pas les conditions pour prétendre à ces prestations avant le mois de novembre 2015, soit à une époque où la défenderesse n’était plus affiliée à la CPC et où le financement du fonds de retraite anticipée n’était plus assuré. Il ne peut dès lors invoquer utilement le principe de l’égalité de traitement pour requérir un traitement semblable à celui des employés partis en retraite anticipée plusieurs années auparavant, à une époque où la situation de ce fonds était totalement différente. 3.6 Enfin, le demandeur souligne que le refus des employés de s’affilier en surobligatoire auprès de la PRESV ne signifie pas que ceux-ci ont renoncé au fonds de retraite anticipée constitué auprès de la CPC. Cet argument est inopérant puisque, comme on l’a vu, les employés du CMS n’ont jamais cotisé auprès de ce fonds et ne disposent d’aucun droit acquis vis-à-vis des prestations de prévoyance servies par ledit fonds ; il s’ensuit que leur intention de renoncer ou non auxdites prestations n’a aucune influence sur le devenir de ce fonds. Pour le reste, l’argumentation du demandeur ne change rien au fait que ce fonds n’est plus financé et qu’il ne peut dès lors plus assurer les prestations indiquées dans son règlement. 4.1 Attendu ce qui précède, l’action est rejetée. 4.2 Le jugement est rendu sans frais (art. 73 al. 2 LPP). 4.3 Vu l’issue du litige, le demandeur n’a pas droit à des dépens (art. 91 al. 1 a contrario LPJA). Bien qu’ayant obtenu gain de cause et qu’étant représentée par un mandataire professionnel, la défenderesse ne peut prétendre à des dépens. En effet, elle revêt dans le présent litige la qualité d’organisation chargée de tâches de droit public, en lien avec la constitution du fonds de retraite anticipée servant à des buts de prévoyance professionnelle (ATF 126 V 143 consid. 4).</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